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77" w:rsidRPr="00013E66" w:rsidRDefault="002A1677" w:rsidP="002A1677">
      <w:pPr>
        <w:jc w:val="center"/>
        <w:rPr>
          <w:sz w:val="10"/>
          <w:szCs w:val="10"/>
          <w:rtl/>
          <w:lang w:bidi="fa-IR"/>
        </w:rPr>
      </w:pPr>
      <w:r w:rsidRPr="00013E66">
        <w:rPr>
          <w:noProof/>
          <w:sz w:val="32"/>
          <w:szCs w:val="32"/>
        </w:rPr>
        <w:drawing>
          <wp:inline distT="0" distB="0" distL="0" distR="0" wp14:anchorId="548F4184" wp14:editId="16D15486">
            <wp:extent cx="981075" cy="1114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p>
    <w:p w:rsidR="002A1677" w:rsidRPr="00013E66" w:rsidRDefault="002A1677" w:rsidP="002A1677">
      <w:pPr>
        <w:jc w:val="center"/>
        <w:rPr>
          <w:b/>
          <w:bCs/>
          <w:sz w:val="28"/>
          <w:rtl/>
          <w:lang w:bidi="fa-IR"/>
        </w:rPr>
      </w:pPr>
      <w:r w:rsidRPr="00013E66">
        <w:rPr>
          <w:b/>
          <w:bCs/>
          <w:sz w:val="28"/>
          <w:lang w:bidi="fa-IR"/>
        </w:rPr>
        <w:t>Tabriz University of Medical Sciences</w:t>
      </w:r>
    </w:p>
    <w:p w:rsidR="002A1677" w:rsidRPr="00013E66" w:rsidRDefault="002A1677" w:rsidP="002A1677">
      <w:pPr>
        <w:jc w:val="center"/>
        <w:rPr>
          <w:b/>
          <w:bCs/>
        </w:rPr>
      </w:pPr>
      <w:r w:rsidRPr="00013E66">
        <w:rPr>
          <w:b/>
          <w:bCs/>
        </w:rPr>
        <w:t xml:space="preserve">Thesis </w:t>
      </w:r>
    </w:p>
    <w:p w:rsidR="002A1677" w:rsidRPr="00013E66" w:rsidRDefault="002A1677" w:rsidP="002A1677">
      <w:pPr>
        <w:jc w:val="center"/>
        <w:rPr>
          <w:b/>
          <w:bCs/>
        </w:rPr>
      </w:pPr>
      <w:bookmarkStart w:id="0" w:name="_GoBack"/>
      <w:bookmarkEnd w:id="0"/>
      <w:r w:rsidRPr="00013E66">
        <w:rPr>
          <w:b/>
          <w:bCs/>
        </w:rPr>
        <w:t>For</w:t>
      </w:r>
      <w:r w:rsidRPr="00013E66">
        <w:rPr>
          <w:b/>
          <w:bCs/>
        </w:rPr>
        <w:t xml:space="preserve"> Master Degree in Community Health Nursing</w:t>
      </w:r>
    </w:p>
    <w:p w:rsidR="002A1677" w:rsidRPr="00013E66" w:rsidRDefault="002A1677" w:rsidP="002A1677">
      <w:pPr>
        <w:jc w:val="center"/>
        <w:rPr>
          <w:b/>
          <w:bCs/>
          <w:lang w:bidi="fa-IR"/>
        </w:rPr>
      </w:pPr>
      <w:r w:rsidRPr="00013E66">
        <w:rPr>
          <w:b/>
          <w:bCs/>
        </w:rPr>
        <w:t>Title:</w:t>
      </w:r>
    </w:p>
    <w:p w:rsidR="002A1677" w:rsidRPr="00013E66" w:rsidRDefault="002A1677" w:rsidP="002A1677">
      <w:pPr>
        <w:jc w:val="center"/>
        <w:rPr>
          <w:b/>
          <w:bCs/>
          <w:sz w:val="28"/>
          <w:szCs w:val="32"/>
          <w:rtl/>
          <w:lang w:bidi="fa-IR"/>
        </w:rPr>
      </w:pPr>
      <w:r w:rsidRPr="00013E66">
        <w:rPr>
          <w:b/>
          <w:bCs/>
          <w:sz w:val="28"/>
          <w:szCs w:val="32"/>
          <w:lang w:bidi="fa-IR"/>
        </w:rPr>
        <w:t>Predictive Factors for Participation in Colorectal Cancer Screening Based on the BASNEF Model in Middle-Risk Individuals Referred to Tabriz Health Centers</w:t>
      </w:r>
    </w:p>
    <w:p w:rsidR="002A1677" w:rsidRPr="004E3783" w:rsidRDefault="002A1677" w:rsidP="002A1677">
      <w:pPr>
        <w:spacing w:before="200"/>
        <w:jc w:val="center"/>
        <w:rPr>
          <w:rFonts w:asciiTheme="majorBidi" w:eastAsia="Times New Roman" w:hAnsiTheme="majorBidi" w:cstheme="majorBidi"/>
          <w:sz w:val="28"/>
          <w:lang w:bidi="fa-IR"/>
        </w:rPr>
      </w:pPr>
      <w:r w:rsidRPr="00013E66">
        <w:rPr>
          <w:rFonts w:asciiTheme="majorBidi" w:hAnsiTheme="majorBidi" w:cstheme="majorBidi"/>
          <w:b/>
          <w:bCs/>
          <w:kern w:val="24"/>
          <w:szCs w:val="24"/>
        </w:rPr>
        <w:t>By:</w:t>
      </w:r>
    </w:p>
    <w:p w:rsidR="002A1677" w:rsidRPr="004E3783" w:rsidRDefault="002A1677" w:rsidP="002A1677">
      <w:pPr>
        <w:spacing w:before="200"/>
        <w:jc w:val="center"/>
        <w:rPr>
          <w:rFonts w:asciiTheme="majorBidi" w:hAnsiTheme="majorBidi" w:cstheme="majorBidi"/>
          <w:b/>
          <w:bCs/>
          <w:kern w:val="24"/>
          <w:sz w:val="28"/>
          <w:rtl/>
        </w:rPr>
      </w:pPr>
      <w:r w:rsidRPr="004E3783">
        <w:rPr>
          <w:rFonts w:asciiTheme="majorBidi" w:hAnsiTheme="majorBidi" w:cstheme="majorBidi"/>
          <w:kern w:val="24"/>
          <w:sz w:val="28"/>
        </w:rPr>
        <w:t xml:space="preserve">Leila </w:t>
      </w:r>
      <w:proofErr w:type="spellStart"/>
      <w:r w:rsidRPr="004E3783">
        <w:rPr>
          <w:rFonts w:asciiTheme="majorBidi" w:hAnsiTheme="majorBidi" w:cstheme="majorBidi"/>
          <w:kern w:val="24"/>
          <w:sz w:val="28"/>
        </w:rPr>
        <w:t>Ebadi</w:t>
      </w:r>
      <w:proofErr w:type="spellEnd"/>
    </w:p>
    <w:p w:rsidR="002A1677" w:rsidRPr="004E3783" w:rsidRDefault="002A1677" w:rsidP="002A1677">
      <w:pPr>
        <w:spacing w:before="200"/>
        <w:jc w:val="center"/>
        <w:rPr>
          <w:rFonts w:asciiTheme="majorBidi" w:eastAsia="Times New Roman" w:hAnsiTheme="majorBidi" w:cstheme="majorBidi"/>
          <w:sz w:val="28"/>
        </w:rPr>
      </w:pPr>
      <w:proofErr w:type="spellStart"/>
      <w:r w:rsidRPr="004E3783">
        <w:rPr>
          <w:rFonts w:asciiTheme="majorBidi" w:hAnsiTheme="majorBidi" w:cstheme="majorBidi"/>
          <w:b/>
          <w:bCs/>
          <w:kern w:val="24"/>
          <w:sz w:val="28"/>
        </w:rPr>
        <w:t>Superviser</w:t>
      </w:r>
      <w:proofErr w:type="spellEnd"/>
      <w:r w:rsidRPr="004E3783">
        <w:rPr>
          <w:rFonts w:asciiTheme="majorBidi" w:hAnsiTheme="majorBidi" w:cstheme="majorBidi"/>
          <w:b/>
          <w:bCs/>
          <w:kern w:val="24"/>
          <w:sz w:val="28"/>
        </w:rPr>
        <w:t>:</w:t>
      </w:r>
    </w:p>
    <w:p w:rsidR="002A1677" w:rsidRPr="004E3783" w:rsidRDefault="002A1677" w:rsidP="002A1677">
      <w:pPr>
        <w:spacing w:before="200"/>
        <w:jc w:val="center"/>
        <w:rPr>
          <w:rFonts w:asciiTheme="majorBidi" w:hAnsiTheme="majorBidi" w:cstheme="majorBidi"/>
          <w:kern w:val="24"/>
          <w:sz w:val="28"/>
          <w:rtl/>
          <w:lang w:bidi="fa-IR"/>
        </w:rPr>
      </w:pPr>
      <w:proofErr w:type="spellStart"/>
      <w:r w:rsidRPr="004E3783">
        <w:rPr>
          <w:rFonts w:asciiTheme="majorBidi" w:hAnsiTheme="majorBidi" w:cstheme="majorBidi"/>
          <w:sz w:val="28"/>
          <w:lang w:bidi="fa-IR"/>
        </w:rPr>
        <w:t>Shirin</w:t>
      </w:r>
      <w:proofErr w:type="spellEnd"/>
      <w:r w:rsidRPr="004E3783">
        <w:rPr>
          <w:rFonts w:asciiTheme="majorBidi" w:hAnsiTheme="majorBidi" w:cstheme="majorBidi"/>
          <w:sz w:val="28"/>
          <w:lang w:bidi="fa-IR"/>
        </w:rPr>
        <w:t xml:space="preserve"> </w:t>
      </w:r>
      <w:proofErr w:type="spellStart"/>
      <w:r w:rsidRPr="004E3783">
        <w:rPr>
          <w:rFonts w:asciiTheme="majorBidi" w:hAnsiTheme="majorBidi" w:cstheme="majorBidi"/>
          <w:sz w:val="28"/>
          <w:lang w:bidi="fa-IR"/>
        </w:rPr>
        <w:t>Barzanjeh</w:t>
      </w:r>
      <w:proofErr w:type="spellEnd"/>
      <w:r w:rsidRPr="004E3783">
        <w:rPr>
          <w:rFonts w:asciiTheme="majorBidi" w:hAnsiTheme="majorBidi" w:cstheme="majorBidi"/>
          <w:sz w:val="28"/>
          <w:lang w:bidi="fa-IR"/>
        </w:rPr>
        <w:t xml:space="preserve"> </w:t>
      </w:r>
      <w:proofErr w:type="spellStart"/>
      <w:r w:rsidRPr="004E3783">
        <w:rPr>
          <w:rFonts w:asciiTheme="majorBidi" w:hAnsiTheme="majorBidi" w:cstheme="majorBidi"/>
          <w:sz w:val="28"/>
          <w:lang w:bidi="fa-IR"/>
        </w:rPr>
        <w:t>Atri</w:t>
      </w:r>
      <w:proofErr w:type="spellEnd"/>
    </w:p>
    <w:p w:rsidR="002A1677" w:rsidRPr="004E3783" w:rsidRDefault="002A1677" w:rsidP="002A1677">
      <w:pPr>
        <w:spacing w:before="200"/>
        <w:jc w:val="center"/>
        <w:rPr>
          <w:rFonts w:asciiTheme="majorBidi" w:eastAsia="Times New Roman" w:hAnsiTheme="majorBidi" w:cstheme="majorBidi"/>
          <w:sz w:val="28"/>
        </w:rPr>
      </w:pPr>
      <w:r w:rsidRPr="004E3783">
        <w:rPr>
          <w:rFonts w:asciiTheme="majorBidi" w:hAnsiTheme="majorBidi" w:cstheme="majorBidi"/>
          <w:b/>
          <w:bCs/>
          <w:kern w:val="24"/>
          <w:sz w:val="28"/>
          <w:lang w:bidi="fa-IR"/>
        </w:rPr>
        <w:t>Advisors:</w:t>
      </w:r>
    </w:p>
    <w:p w:rsidR="002A1677" w:rsidRPr="004E3783" w:rsidRDefault="002A1677" w:rsidP="002A1677">
      <w:pPr>
        <w:jc w:val="center"/>
        <w:rPr>
          <w:rFonts w:asciiTheme="majorBidi" w:eastAsia="Times New Roman" w:hAnsiTheme="majorBidi" w:cstheme="majorBidi"/>
          <w:kern w:val="24"/>
          <w:sz w:val="28"/>
          <w:rtl/>
          <w:lang w:bidi="ar-YE"/>
        </w:rPr>
      </w:pPr>
      <w:r w:rsidRPr="004E3783">
        <w:rPr>
          <w:rFonts w:asciiTheme="majorBidi" w:hAnsiTheme="majorBidi" w:cstheme="majorBidi"/>
          <w:sz w:val="28"/>
          <w:lang w:bidi="fa-IR"/>
        </w:rPr>
        <w:t xml:space="preserve">Mina </w:t>
      </w:r>
      <w:proofErr w:type="spellStart"/>
      <w:r w:rsidRPr="004E3783">
        <w:rPr>
          <w:rFonts w:asciiTheme="majorBidi" w:hAnsiTheme="majorBidi" w:cstheme="majorBidi"/>
          <w:sz w:val="28"/>
          <w:lang w:bidi="fa-IR"/>
        </w:rPr>
        <w:t>Hosseinzadeh</w:t>
      </w:r>
      <w:proofErr w:type="spellEnd"/>
    </w:p>
    <w:p w:rsidR="002A1677" w:rsidRPr="004E3783" w:rsidRDefault="002A1677" w:rsidP="002A1677">
      <w:pPr>
        <w:jc w:val="center"/>
        <w:rPr>
          <w:rFonts w:asciiTheme="majorBidi" w:hAnsiTheme="majorBidi" w:cstheme="majorBidi"/>
          <w:kern w:val="24"/>
          <w:sz w:val="28"/>
          <w:rtl/>
          <w:lang w:bidi="fa-IR"/>
        </w:rPr>
      </w:pPr>
      <w:r w:rsidRPr="004E3783">
        <w:rPr>
          <w:rFonts w:asciiTheme="majorBidi" w:hAnsiTheme="majorBidi" w:cstheme="majorBidi"/>
          <w:sz w:val="28"/>
          <w:lang w:bidi="fa-IR"/>
        </w:rPr>
        <w:t xml:space="preserve">Mohamad </w:t>
      </w:r>
      <w:proofErr w:type="spellStart"/>
      <w:r w:rsidRPr="004E3783">
        <w:rPr>
          <w:rFonts w:asciiTheme="majorBidi" w:hAnsiTheme="majorBidi" w:cstheme="majorBidi"/>
          <w:sz w:val="28"/>
          <w:lang w:bidi="fa-IR"/>
        </w:rPr>
        <w:t>Asghari</w:t>
      </w:r>
      <w:proofErr w:type="spellEnd"/>
      <w:r w:rsidRPr="004E3783">
        <w:rPr>
          <w:rFonts w:asciiTheme="majorBidi" w:hAnsiTheme="majorBidi" w:cstheme="majorBidi"/>
          <w:sz w:val="28"/>
          <w:lang w:bidi="fa-IR"/>
        </w:rPr>
        <w:t xml:space="preserve"> </w:t>
      </w:r>
      <w:proofErr w:type="spellStart"/>
      <w:r w:rsidRPr="004E3783">
        <w:rPr>
          <w:rFonts w:asciiTheme="majorBidi" w:hAnsiTheme="majorBidi" w:cstheme="majorBidi"/>
          <w:sz w:val="28"/>
          <w:lang w:bidi="fa-IR"/>
        </w:rPr>
        <w:t>Jafarabadi</w:t>
      </w:r>
      <w:proofErr w:type="spellEnd"/>
    </w:p>
    <w:p w:rsidR="002A1677" w:rsidRPr="004E3783" w:rsidRDefault="002A1677" w:rsidP="002A1677">
      <w:pPr>
        <w:jc w:val="center"/>
        <w:rPr>
          <w:rFonts w:asciiTheme="majorBidi" w:hAnsiTheme="majorBidi" w:cstheme="majorBidi"/>
          <w:sz w:val="28"/>
          <w:lang w:bidi="fa-IR"/>
        </w:rPr>
      </w:pPr>
      <w:r w:rsidRPr="004E3783">
        <w:rPr>
          <w:rFonts w:asciiTheme="majorBidi" w:hAnsiTheme="majorBidi" w:cstheme="majorBidi"/>
          <w:sz w:val="28"/>
          <w:lang w:bidi="fa-IR"/>
        </w:rPr>
        <w:t xml:space="preserve">Mohammad Hasan </w:t>
      </w:r>
      <w:proofErr w:type="spellStart"/>
      <w:r w:rsidRPr="004E3783">
        <w:rPr>
          <w:rFonts w:asciiTheme="majorBidi" w:hAnsiTheme="majorBidi" w:cstheme="majorBidi"/>
          <w:sz w:val="28"/>
          <w:lang w:bidi="fa-IR"/>
        </w:rPr>
        <w:t>Sahebihagh</w:t>
      </w:r>
      <w:proofErr w:type="spellEnd"/>
    </w:p>
    <w:p w:rsidR="002A1677" w:rsidRPr="004E3783" w:rsidRDefault="002A1677" w:rsidP="002A1677">
      <w:pPr>
        <w:jc w:val="center"/>
        <w:rPr>
          <w:rFonts w:asciiTheme="majorBidi" w:hAnsiTheme="majorBidi" w:cstheme="majorBidi"/>
          <w:sz w:val="28"/>
          <w:lang w:bidi="fa-IR"/>
        </w:rPr>
      </w:pPr>
    </w:p>
    <w:p w:rsidR="002A1677" w:rsidRPr="004E3783" w:rsidRDefault="002A1677" w:rsidP="002A1677">
      <w:pPr>
        <w:jc w:val="center"/>
        <w:rPr>
          <w:rFonts w:asciiTheme="majorBidi" w:hAnsiTheme="majorBidi" w:cstheme="majorBidi"/>
          <w:sz w:val="28"/>
          <w:lang w:bidi="fa-IR"/>
        </w:rPr>
      </w:pPr>
    </w:p>
    <w:p w:rsidR="002A1677" w:rsidRPr="004E3783" w:rsidRDefault="002A1677" w:rsidP="002A1677">
      <w:pPr>
        <w:jc w:val="center"/>
        <w:rPr>
          <w:rFonts w:asciiTheme="majorBidi" w:hAnsiTheme="majorBidi" w:cstheme="majorBidi"/>
          <w:sz w:val="28"/>
          <w:rtl/>
        </w:rPr>
      </w:pPr>
      <w:r w:rsidRPr="004E3783">
        <w:rPr>
          <w:rFonts w:asciiTheme="majorBidi" w:hAnsiTheme="majorBidi" w:cstheme="majorBidi"/>
          <w:sz w:val="28"/>
          <w:lang w:bidi="fa-IR"/>
        </w:rPr>
        <w:t xml:space="preserve">Thesis code:  </w:t>
      </w:r>
      <w:r>
        <w:rPr>
          <w:rFonts w:asciiTheme="majorBidi" w:hAnsiTheme="majorBidi" w:cstheme="majorBidi"/>
          <w:sz w:val="28"/>
          <w:lang w:bidi="fa-IR"/>
        </w:rPr>
        <w:t>758</w:t>
      </w:r>
      <w:r w:rsidRPr="004E3783">
        <w:rPr>
          <w:rFonts w:asciiTheme="majorBidi" w:hAnsiTheme="majorBidi" w:cstheme="majorBidi"/>
          <w:sz w:val="28"/>
          <w:lang w:bidi="fa-IR"/>
        </w:rPr>
        <w:t xml:space="preserve">    </w:t>
      </w:r>
    </w:p>
    <w:p w:rsidR="002A1677" w:rsidRDefault="002A1677" w:rsidP="002A1677">
      <w:pPr>
        <w:jc w:val="right"/>
        <w:rPr>
          <w:rFonts w:asciiTheme="majorBidi" w:hAnsiTheme="majorBidi" w:cstheme="majorBidi"/>
          <w:b/>
          <w:bCs/>
          <w:kern w:val="24"/>
          <w:szCs w:val="24"/>
        </w:rPr>
      </w:pPr>
    </w:p>
    <w:p w:rsidR="002A1677" w:rsidRDefault="002A1677" w:rsidP="002A1677">
      <w:pPr>
        <w:jc w:val="right"/>
        <w:rPr>
          <w:rFonts w:asciiTheme="majorBidi" w:hAnsiTheme="majorBidi" w:cstheme="majorBidi"/>
          <w:b/>
          <w:bCs/>
          <w:kern w:val="24"/>
          <w:szCs w:val="24"/>
        </w:rPr>
      </w:pPr>
    </w:p>
    <w:p w:rsidR="002A1677" w:rsidRDefault="002A1677" w:rsidP="002A1677">
      <w:pPr>
        <w:jc w:val="right"/>
        <w:rPr>
          <w:rFonts w:asciiTheme="majorBidi" w:hAnsiTheme="majorBidi" w:cstheme="majorBidi"/>
          <w:b/>
          <w:bCs/>
          <w:kern w:val="24"/>
          <w:szCs w:val="24"/>
        </w:rPr>
      </w:pPr>
    </w:p>
    <w:p w:rsidR="002A1677" w:rsidRDefault="002A1677" w:rsidP="002A1677">
      <w:pPr>
        <w:jc w:val="right"/>
        <w:rPr>
          <w:rFonts w:asciiTheme="majorBidi" w:hAnsiTheme="majorBidi" w:cstheme="majorBidi"/>
          <w:b/>
          <w:bCs/>
          <w:kern w:val="24"/>
          <w:szCs w:val="24"/>
        </w:rPr>
      </w:pPr>
    </w:p>
    <w:p w:rsidR="002A1677" w:rsidRPr="00013E66" w:rsidRDefault="002A1677" w:rsidP="002A1677">
      <w:pPr>
        <w:jc w:val="right"/>
        <w:rPr>
          <w:rFonts w:asciiTheme="majorBidi" w:hAnsiTheme="majorBidi" w:cstheme="majorBidi"/>
          <w:b/>
          <w:bCs/>
          <w:kern w:val="24"/>
          <w:szCs w:val="24"/>
        </w:rPr>
      </w:pPr>
      <w:r w:rsidRPr="00013E66">
        <w:rPr>
          <w:rFonts w:asciiTheme="majorBidi" w:hAnsiTheme="majorBidi" w:cstheme="majorBidi"/>
          <w:b/>
          <w:bCs/>
          <w:kern w:val="24"/>
          <w:szCs w:val="24"/>
        </w:rPr>
        <w:lastRenderedPageBreak/>
        <w:t>Abstract</w:t>
      </w:r>
    </w:p>
    <w:p w:rsidR="002A1677" w:rsidRPr="00013E66" w:rsidRDefault="002A1677" w:rsidP="002A1677">
      <w:pPr>
        <w:bidi w:val="0"/>
        <w:rPr>
          <w:rFonts w:asciiTheme="majorBidi" w:hAnsiTheme="majorBidi" w:cstheme="majorBidi"/>
          <w:kern w:val="24"/>
          <w:szCs w:val="24"/>
        </w:rPr>
      </w:pPr>
      <w:r w:rsidRPr="00013E66">
        <w:rPr>
          <w:rFonts w:asciiTheme="majorBidi" w:hAnsiTheme="majorBidi" w:cstheme="majorBidi"/>
          <w:b/>
          <w:bCs/>
          <w:kern w:val="24"/>
          <w:szCs w:val="24"/>
        </w:rPr>
        <w:t>Introduction</w:t>
      </w:r>
      <w:r w:rsidRPr="00013E66">
        <w:rPr>
          <w:rFonts w:asciiTheme="majorBidi" w:hAnsiTheme="majorBidi" w:cstheme="majorBidi"/>
          <w:kern w:val="24"/>
          <w:szCs w:val="24"/>
        </w:rPr>
        <w:t>: Intestinal cancer is one of the most common causes of mortality in the world. Regular screening as a method for early detection can be predicted using the BASNEF model, which is used to study the behavior and determine the factors influencing decision-making behavior of individuals. This study was aimed to determine the predictive factors for participation in the screening of colorectal cancer based on the BASNEF model in middle-risk individuals.</w:t>
      </w:r>
    </w:p>
    <w:p w:rsidR="002A1677" w:rsidRPr="00013E66" w:rsidRDefault="002A1677" w:rsidP="002A1677">
      <w:pPr>
        <w:bidi w:val="0"/>
        <w:rPr>
          <w:rFonts w:asciiTheme="majorBidi" w:hAnsiTheme="majorBidi" w:cstheme="majorBidi"/>
          <w:szCs w:val="24"/>
          <w:lang w:bidi="fa-IR"/>
        </w:rPr>
      </w:pPr>
      <w:r w:rsidRPr="00013E66">
        <w:rPr>
          <w:rFonts w:asciiTheme="majorBidi" w:hAnsiTheme="majorBidi" w:cstheme="majorBidi"/>
          <w:b/>
          <w:bCs/>
          <w:kern w:val="24"/>
          <w:szCs w:val="24"/>
        </w:rPr>
        <w:t>Methods and Materials:</w:t>
      </w:r>
      <w:r w:rsidRPr="00013E66">
        <w:rPr>
          <w:rFonts w:asciiTheme="majorBidi" w:hAnsiTheme="majorBidi" w:cstheme="majorBidi"/>
          <w:szCs w:val="24"/>
          <w:lang w:bidi="fa-IR"/>
        </w:rPr>
        <w:t xml:space="preserve"> This was a cross-sectional (descriptive-analytic) study conducted on </w:t>
      </w:r>
      <w:r w:rsidRPr="0027558D">
        <w:rPr>
          <w:rFonts w:asciiTheme="majorBidi" w:hAnsiTheme="majorBidi" w:cstheme="majorBidi"/>
          <w:szCs w:val="24"/>
          <w:lang w:bidi="fa-IR"/>
        </w:rPr>
        <w:t>576</w:t>
      </w:r>
      <w:r w:rsidRPr="00013E66">
        <w:rPr>
          <w:rFonts w:asciiTheme="majorBidi" w:hAnsiTheme="majorBidi" w:cstheme="majorBidi"/>
          <w:szCs w:val="24"/>
          <w:lang w:bidi="fa-IR"/>
        </w:rPr>
        <w:t xml:space="preserve"> middle-risk individuals of colorectal cancer from four regions out of eleven regions of Tabriz city. The inclusion criteria were included age over 50 years, the ability to answer questions physically and mentally, lack of a patient or first-degree relatives to colorectal cancer, benign tumors (polyps) of the large intestine, colitis, </w:t>
      </w:r>
      <w:proofErr w:type="spellStart"/>
      <w:r w:rsidRPr="00013E66">
        <w:rPr>
          <w:rFonts w:asciiTheme="majorBidi" w:hAnsiTheme="majorBidi" w:cstheme="majorBidi"/>
          <w:szCs w:val="24"/>
          <w:lang w:bidi="fa-IR"/>
        </w:rPr>
        <w:t>Crohn's</w:t>
      </w:r>
      <w:proofErr w:type="spellEnd"/>
      <w:r w:rsidRPr="00013E66">
        <w:rPr>
          <w:rFonts w:asciiTheme="majorBidi" w:hAnsiTheme="majorBidi" w:cstheme="majorBidi"/>
          <w:szCs w:val="24"/>
          <w:lang w:bidi="fa-IR"/>
        </w:rPr>
        <w:t xml:space="preserve"> disease and cognitive, speech, or hearing problems. Individuals who responded incompletely to the questionnaire were excluded. The research-made questionnaire based on the BASNEF model was used to collect information. Less than 0.05 was considered significant.</w:t>
      </w:r>
    </w:p>
    <w:p w:rsidR="002A1677" w:rsidRDefault="002A1677" w:rsidP="002A1677">
      <w:pPr>
        <w:bidi w:val="0"/>
        <w:rPr>
          <w:szCs w:val="24"/>
          <w:rtl/>
          <w:lang w:bidi="fa-IR"/>
        </w:rPr>
      </w:pPr>
      <w:r w:rsidRPr="00013E66">
        <w:rPr>
          <w:rFonts w:asciiTheme="majorBidi" w:hAnsiTheme="majorBidi" w:cstheme="majorBidi"/>
          <w:b/>
          <w:bCs/>
          <w:kern w:val="24"/>
          <w:szCs w:val="24"/>
        </w:rPr>
        <w:t>Results:</w:t>
      </w:r>
      <w:r w:rsidRPr="00013E66">
        <w:rPr>
          <w:szCs w:val="24"/>
          <w:lang w:bidi="fa-IR"/>
        </w:rPr>
        <w:t xml:space="preserve"> </w:t>
      </w:r>
      <w:r w:rsidRPr="0027558D">
        <w:rPr>
          <w:szCs w:val="24"/>
          <w:lang w:bidi="fa-IR"/>
        </w:rPr>
        <w:t xml:space="preserve">: In this study, 348 individuals (60.4%) were in the age group of 50 to 60 years old and 228 individuals (39.6%) were in the age group of 60 to 70 years. Most of the individuals (85.8%) were married. The mean score of knowledge, attitude, social norms, performance and enabling factors was 39.63 ± 23.69, 58.62 ± 9.72, 63.21 ± 25.93, 50.30 ± 15.18, 77.58 ± 19.84, respectively. </w:t>
      </w:r>
      <w:proofErr w:type="gramStart"/>
      <w:r w:rsidRPr="0027558D">
        <w:rPr>
          <w:szCs w:val="24"/>
          <w:lang w:bidi="fa-IR"/>
        </w:rPr>
        <w:t>awareness</w:t>
      </w:r>
      <w:proofErr w:type="gramEnd"/>
      <w:r w:rsidRPr="0027558D">
        <w:rPr>
          <w:szCs w:val="24"/>
          <w:lang w:bidi="fa-IR"/>
        </w:rPr>
        <w:t xml:space="preserve"> (ᵦ=0.102) and Social norms (ᵦ=0.147) were a significant predictor for behavior change. The training of screening tests showed a significant relationship (P=0.008) with performance score (ᵦ=0.078).</w:t>
      </w:r>
    </w:p>
    <w:p w:rsidR="002A1677" w:rsidRPr="00013E66" w:rsidRDefault="002A1677" w:rsidP="002A1677">
      <w:pPr>
        <w:bidi w:val="0"/>
        <w:rPr>
          <w:rFonts w:asciiTheme="majorBidi" w:hAnsiTheme="majorBidi" w:cstheme="majorBidi"/>
          <w:kern w:val="24"/>
          <w:szCs w:val="24"/>
        </w:rPr>
      </w:pPr>
      <w:r w:rsidRPr="00013E66">
        <w:rPr>
          <w:rFonts w:asciiTheme="majorBidi" w:hAnsiTheme="majorBidi" w:cstheme="majorBidi"/>
          <w:b/>
          <w:bCs/>
          <w:kern w:val="24"/>
          <w:szCs w:val="24"/>
        </w:rPr>
        <w:t>Conclusion</w:t>
      </w:r>
      <w:r w:rsidRPr="00013E66">
        <w:rPr>
          <w:rFonts w:asciiTheme="majorBidi" w:hAnsiTheme="majorBidi" w:cstheme="majorBidi"/>
          <w:kern w:val="24"/>
          <w:szCs w:val="24"/>
        </w:rPr>
        <w:t>: The results of this study showed that by focusing on social norms and knowledge among middle-risk people of colorectal cancer, their behavior could be predicted for participating in screening programs and taken the necessary measures.</w:t>
      </w:r>
    </w:p>
    <w:p w:rsidR="002A1677" w:rsidRPr="00013E66" w:rsidRDefault="002A1677" w:rsidP="002A1677">
      <w:pPr>
        <w:jc w:val="right"/>
        <w:rPr>
          <w:sz w:val="28"/>
          <w:rtl/>
          <w:lang w:bidi="fa-IR"/>
        </w:rPr>
      </w:pPr>
      <w:r w:rsidRPr="00013E66">
        <w:rPr>
          <w:rFonts w:asciiTheme="majorBidi" w:hAnsiTheme="majorBidi" w:cstheme="majorBidi"/>
          <w:b/>
          <w:bCs/>
          <w:kern w:val="24"/>
          <w:szCs w:val="24"/>
        </w:rPr>
        <w:t xml:space="preserve">Keywords: </w:t>
      </w:r>
      <w:r w:rsidRPr="00013E66">
        <w:rPr>
          <w:rFonts w:asciiTheme="majorBidi" w:hAnsiTheme="majorBidi" w:cstheme="majorBidi"/>
          <w:kern w:val="24"/>
          <w:szCs w:val="24"/>
        </w:rPr>
        <w:t>BASNEF Model, Colorectal Cancer, Prediction, Screening</w:t>
      </w:r>
    </w:p>
    <w:p w:rsidR="00AA5DC5" w:rsidRDefault="002A1677"/>
    <w:sectPr w:rsidR="00AA5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77"/>
    <w:rsid w:val="002A1677"/>
    <w:rsid w:val="00C23058"/>
    <w:rsid w:val="00DA4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7BD02-84E2-4812-B1D7-C4DED40D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77"/>
    <w:pPr>
      <w:bidi/>
      <w:spacing w:after="0" w:line="360" w:lineRule="auto"/>
      <w:jc w:val="both"/>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Rezaei</dc:creator>
  <cp:keywords/>
  <dc:description/>
  <cp:lastModifiedBy>Rezaei</cp:lastModifiedBy>
  <cp:revision>1</cp:revision>
  <dcterms:created xsi:type="dcterms:W3CDTF">2019-08-14T04:23:00Z</dcterms:created>
  <dcterms:modified xsi:type="dcterms:W3CDTF">2019-08-14T04:25:00Z</dcterms:modified>
</cp:coreProperties>
</file>